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子公司成立、重组、撤销</w:t>
      </w: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根据《隧道股份能源业务改革发展总体方案》，上海煤气第一管线工程有限公司（后简称“第一管线”）为上海能源建设集团有限公司（后简称“上海能建”）的子公司。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一、设置九个职能部门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将原有的十个职能部门调整为九个，分别为党群办公室（包括党办、工会、团委）、纪律检查室、行政办公室、市场发展部、工程管理部、安全管理部、人力资源部、总工办及审计室。撤销原有的计划财务部、科技发展部及工程管理部下属物资核算中心。二、成立十三个分公司及事业部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成立上海区域市场三个分公司，分别为第一管线市南工程公司、第一管线市北工程公司、第一管线浦东工程公司，皆为非独立法人机构。撤销原有的第一管线市南分公司、第一管线市北分公司、第一管线浦东项管部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成立五个专业分公司及事业部，分别为第一管线油气储运工程公司、第一管线热电工程公司、第一管线管网运维公司、第一管线新能源事业部、第一管线总承包事业部，皆为非独立法人机构。撤销原有的第一管线总承包部、第一管线采暖事业部、第一管线运维服务事业部、第一管线市政公用事业部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成立五个外地区域分公司，分别为第一管线长三角公司、第一管线大湾区公司、第一管线北方公司、第一管线西南公司、第一管线中部公司,皆为非独立法人机构。撤销原有的苏浙皖区域总部、第一管线工程分公司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三、保留原一个事业部和两个子公司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为确保原业务领域的稳定与发展，保留原第一管线焊接与无损检测事业部，保留原两个子公司，分别为上海煤气设备安装工程有限公司、上海煤气第一管线工程车辆检测技术服务有限公司。</w:t>
      </w:r>
    </w:p>
    <w:p>
      <w:pPr>
        <w:rPr>
          <w:rFonts w:hint="eastAsia" w:ascii="宋体" w:hAnsi="宋体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A6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2021-12-07T03:30:09Z</dcterms:created>
  <dc:creator>HP</dc:creator>
  <cp:lastModifiedBy>WPS_1524805427</cp:lastModifiedBy>
  <dcterms:modified xsi:type="dcterms:W3CDTF">2021-12-07T05:07:11Z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9FD8204A97E1402A8C29C11ADE527F0D</vt:lpwstr>
  </property>
</Properties>
</file>